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02" w:rsidRPr="00A70196" w:rsidRDefault="00A70196" w:rsidP="00A70196">
      <w:pPr>
        <w:jc w:val="center"/>
        <w:rPr>
          <w:rFonts w:asciiTheme="minorEastAsia" w:hAnsiTheme="minorEastAsia" w:hint="eastAsia"/>
          <w:b/>
          <w:szCs w:val="24"/>
        </w:rPr>
      </w:pPr>
      <w:r w:rsidRPr="00A70196">
        <w:rPr>
          <w:rFonts w:asciiTheme="minorEastAsia" w:hAnsiTheme="minorEastAsia" w:hint="eastAsia"/>
          <w:b/>
          <w:szCs w:val="24"/>
        </w:rPr>
        <w:t>上海市近日公佈了《市人力資源社會保障局等關於</w:t>
      </w:r>
      <w:r w:rsidRPr="00A70196">
        <w:rPr>
          <w:rFonts w:asciiTheme="minorEastAsia" w:hAnsiTheme="minorEastAsia"/>
          <w:b/>
          <w:szCs w:val="24"/>
        </w:rPr>
        <w:t>2013</w:t>
      </w:r>
      <w:r w:rsidRPr="00A70196">
        <w:rPr>
          <w:rFonts w:asciiTheme="minorEastAsia" w:hAnsiTheme="minorEastAsia" w:hint="eastAsia"/>
          <w:b/>
          <w:szCs w:val="24"/>
        </w:rPr>
        <w:t>年企業工資增長指導線通知》</w:t>
      </w:r>
    </w:p>
    <w:p w:rsidR="00A70196" w:rsidRPr="00A70196" w:rsidRDefault="00A70196" w:rsidP="00A70196">
      <w:pPr>
        <w:rPr>
          <w:rFonts w:ascii="Verdana" w:hAnsi="Verdana" w:hint="eastAsia"/>
          <w:sz w:val="18"/>
          <w:szCs w:val="18"/>
        </w:rPr>
      </w:pPr>
    </w:p>
    <w:p w:rsidR="00A70196" w:rsidRDefault="00A70196" w:rsidP="00A70196">
      <w:pPr>
        <w:pStyle w:val="Web"/>
        <w:shd w:val="clear" w:color="auto" w:fill="FFFFFF"/>
        <w:spacing w:line="360" w:lineRule="atLeast"/>
        <w:rPr>
          <w:rFonts w:ascii="Arial" w:hAnsi="Arial" w:cs="Arial" w:hint="eastAsia"/>
          <w:sz w:val="21"/>
          <w:szCs w:val="21"/>
        </w:rPr>
      </w:pPr>
      <w:r w:rsidRPr="00A70196">
        <w:rPr>
          <w:rFonts w:ascii="Arial" w:hAnsi="Arial" w:cs="Arial" w:hint="eastAsia"/>
          <w:sz w:val="21"/>
          <w:szCs w:val="21"/>
        </w:rPr>
        <w:t>現就</w:t>
      </w:r>
      <w:r w:rsidRPr="00A70196">
        <w:rPr>
          <w:rFonts w:ascii="Arial" w:hAnsi="Arial" w:cs="Arial"/>
          <w:sz w:val="21"/>
          <w:szCs w:val="21"/>
        </w:rPr>
        <w:t>2013</w:t>
      </w:r>
      <w:r w:rsidRPr="00A70196">
        <w:rPr>
          <w:rFonts w:ascii="Arial" w:hAnsi="Arial" w:cs="Arial" w:hint="eastAsia"/>
          <w:sz w:val="21"/>
          <w:szCs w:val="21"/>
        </w:rPr>
        <w:t>年本市企業工資增長指導線有關問題提出如下意見：</w:t>
      </w:r>
    </w:p>
    <w:p w:rsidR="00A70196" w:rsidRDefault="00A70196" w:rsidP="00A70196">
      <w:pPr>
        <w:pStyle w:val="Web"/>
        <w:shd w:val="clear" w:color="auto" w:fill="FFFFFF"/>
        <w:spacing w:line="360" w:lineRule="atLeast"/>
        <w:rPr>
          <w:rFonts w:ascii="Arial" w:hAnsi="Arial" w:cs="Arial" w:hint="eastAsia"/>
          <w:sz w:val="21"/>
          <w:szCs w:val="21"/>
        </w:rPr>
      </w:pPr>
    </w:p>
    <w:p w:rsidR="00A70196" w:rsidRPr="00A70196" w:rsidRDefault="00A70196" w:rsidP="00A70196">
      <w:pPr>
        <w:pStyle w:val="Web"/>
        <w:shd w:val="clear" w:color="auto" w:fill="FFFFFF"/>
        <w:spacing w:line="360" w:lineRule="atLeast"/>
        <w:rPr>
          <w:rFonts w:ascii="Arial" w:hAnsi="Arial" w:cs="Arial"/>
          <w:sz w:val="21"/>
          <w:szCs w:val="21"/>
        </w:rPr>
      </w:pPr>
      <w:r w:rsidRPr="00A70196">
        <w:rPr>
          <w:rFonts w:ascii="Arial" w:hAnsi="Arial" w:cs="Arial"/>
          <w:sz w:val="21"/>
          <w:szCs w:val="21"/>
        </w:rPr>
        <w:t xml:space="preserve">    </w:t>
      </w:r>
      <w:r w:rsidRPr="00A70196">
        <w:rPr>
          <w:rFonts w:ascii="Arial" w:hAnsi="Arial" w:cs="Arial" w:hint="eastAsia"/>
          <w:sz w:val="21"/>
          <w:szCs w:val="21"/>
        </w:rPr>
        <w:t>一、企業工資增長指導線</w:t>
      </w:r>
    </w:p>
    <w:p w:rsidR="00A70196" w:rsidRPr="00A70196" w:rsidRDefault="00A70196" w:rsidP="00A70196">
      <w:pPr>
        <w:pStyle w:val="Web"/>
        <w:shd w:val="clear" w:color="auto" w:fill="FFFFFF"/>
        <w:spacing w:line="360" w:lineRule="atLeast"/>
        <w:rPr>
          <w:rFonts w:ascii="Arial" w:hAnsi="Arial" w:cs="Arial"/>
          <w:sz w:val="21"/>
          <w:szCs w:val="21"/>
        </w:rPr>
      </w:pPr>
      <w:r w:rsidRPr="00A70196">
        <w:rPr>
          <w:rFonts w:ascii="Arial" w:hAnsi="Arial" w:cs="Arial"/>
          <w:sz w:val="21"/>
          <w:szCs w:val="21"/>
        </w:rPr>
        <w:t xml:space="preserve">    </w:t>
      </w:r>
      <w:r w:rsidRPr="00A70196">
        <w:rPr>
          <w:rFonts w:ascii="Arial" w:hAnsi="Arial" w:cs="Arial" w:hint="eastAsia"/>
          <w:sz w:val="21"/>
          <w:szCs w:val="21"/>
        </w:rPr>
        <w:t>經綜合考慮本市經濟發展、居民消費價格、勞動就業、工資水準等情況，</w:t>
      </w:r>
      <w:r w:rsidRPr="00A70196">
        <w:rPr>
          <w:rFonts w:ascii="Arial" w:hAnsi="Arial" w:cs="Arial"/>
          <w:sz w:val="21"/>
          <w:szCs w:val="21"/>
        </w:rPr>
        <w:t xml:space="preserve"> 2013</w:t>
      </w:r>
      <w:r w:rsidRPr="00A70196">
        <w:rPr>
          <w:rFonts w:ascii="Arial" w:hAnsi="Arial" w:cs="Arial" w:hint="eastAsia"/>
          <w:sz w:val="21"/>
          <w:szCs w:val="21"/>
        </w:rPr>
        <w:t>年本市企業工資增長指導線為：</w:t>
      </w:r>
    </w:p>
    <w:p w:rsidR="00A70196" w:rsidRPr="00A70196" w:rsidRDefault="00A70196" w:rsidP="00A70196">
      <w:pPr>
        <w:pStyle w:val="Web"/>
        <w:shd w:val="clear" w:color="auto" w:fill="FFFFFF"/>
        <w:spacing w:line="360" w:lineRule="atLeast"/>
        <w:rPr>
          <w:rFonts w:ascii="Arial" w:hAnsi="Arial" w:cs="Arial"/>
          <w:sz w:val="21"/>
          <w:szCs w:val="21"/>
        </w:rPr>
      </w:pPr>
      <w:r w:rsidRPr="00A70196">
        <w:rPr>
          <w:rFonts w:ascii="Arial" w:hAnsi="Arial" w:cs="Arial"/>
          <w:sz w:val="21"/>
          <w:szCs w:val="21"/>
        </w:rPr>
        <w:t xml:space="preserve">    </w:t>
      </w:r>
      <w:r w:rsidRPr="00A70196">
        <w:rPr>
          <w:rFonts w:ascii="Arial" w:hAnsi="Arial" w:cs="Arial" w:hint="eastAsia"/>
          <w:sz w:val="21"/>
          <w:szCs w:val="21"/>
        </w:rPr>
        <w:t>（一）平均線為</w:t>
      </w:r>
      <w:r w:rsidRPr="00A70196">
        <w:rPr>
          <w:rFonts w:ascii="Arial" w:hAnsi="Arial" w:cs="Arial"/>
          <w:sz w:val="21"/>
          <w:szCs w:val="21"/>
        </w:rPr>
        <w:t>12</w:t>
      </w:r>
      <w:r w:rsidRPr="00A70196">
        <w:rPr>
          <w:rFonts w:ascii="Arial" w:hAnsi="Arial" w:cs="Arial" w:hint="eastAsia"/>
          <w:sz w:val="21"/>
          <w:szCs w:val="21"/>
        </w:rPr>
        <w:t>％。生產經營正常、經濟效益增長的企業，可參照平均線確定工資增長水準。其中，上年平均工資水準為全市職工平均工資二倍以上的，可參照平均線以下水準增長工資。</w:t>
      </w:r>
    </w:p>
    <w:p w:rsidR="00A70196" w:rsidRPr="00A70196" w:rsidRDefault="00A70196" w:rsidP="00A70196">
      <w:pPr>
        <w:pStyle w:val="Web"/>
        <w:shd w:val="clear" w:color="auto" w:fill="FFFFFF"/>
        <w:spacing w:line="360" w:lineRule="atLeast"/>
        <w:rPr>
          <w:rFonts w:ascii="Arial" w:hAnsi="Arial" w:cs="Arial"/>
          <w:sz w:val="21"/>
          <w:szCs w:val="21"/>
        </w:rPr>
      </w:pPr>
      <w:r w:rsidRPr="00A70196">
        <w:rPr>
          <w:rFonts w:ascii="Arial" w:hAnsi="Arial" w:cs="Arial"/>
          <w:sz w:val="21"/>
          <w:szCs w:val="21"/>
        </w:rPr>
        <w:t xml:space="preserve">   </w:t>
      </w:r>
      <w:r w:rsidRPr="00A70196">
        <w:rPr>
          <w:rFonts w:ascii="Arial" w:hAnsi="Arial" w:cs="Arial" w:hint="eastAsia"/>
          <w:sz w:val="21"/>
          <w:szCs w:val="21"/>
        </w:rPr>
        <w:t>（二）上線為</w:t>
      </w:r>
      <w:r w:rsidRPr="00A70196">
        <w:rPr>
          <w:rFonts w:ascii="Arial" w:hAnsi="Arial" w:cs="Arial"/>
          <w:sz w:val="21"/>
          <w:szCs w:val="21"/>
        </w:rPr>
        <w:t>16</w:t>
      </w:r>
      <w:r w:rsidRPr="00A70196">
        <w:rPr>
          <w:rFonts w:ascii="Arial" w:hAnsi="Arial" w:cs="Arial" w:hint="eastAsia"/>
          <w:sz w:val="21"/>
          <w:szCs w:val="21"/>
        </w:rPr>
        <w:t>％。生產經營正常、經濟效益較好，並且上年平均工資水準低於全市職工平均工資</w:t>
      </w:r>
      <w:r w:rsidRPr="00A70196">
        <w:rPr>
          <w:rFonts w:ascii="Arial" w:hAnsi="Arial" w:cs="Arial"/>
          <w:sz w:val="21"/>
          <w:szCs w:val="21"/>
        </w:rPr>
        <w:t>60%</w:t>
      </w:r>
      <w:r w:rsidRPr="00A70196">
        <w:rPr>
          <w:rFonts w:ascii="Arial" w:hAnsi="Arial" w:cs="Arial" w:hint="eastAsia"/>
          <w:sz w:val="21"/>
          <w:szCs w:val="21"/>
        </w:rPr>
        <w:t>的企業，可參照上線增長工資。</w:t>
      </w:r>
    </w:p>
    <w:p w:rsidR="00A70196" w:rsidRPr="00A70196" w:rsidRDefault="00A70196" w:rsidP="00A70196">
      <w:pPr>
        <w:pStyle w:val="Web"/>
        <w:shd w:val="clear" w:color="auto" w:fill="FFFFFF"/>
        <w:spacing w:line="360" w:lineRule="atLeast"/>
        <w:rPr>
          <w:rFonts w:ascii="Arial" w:hAnsi="Arial" w:cs="Arial"/>
          <w:sz w:val="21"/>
          <w:szCs w:val="21"/>
        </w:rPr>
      </w:pPr>
      <w:r w:rsidRPr="00A70196">
        <w:rPr>
          <w:rFonts w:ascii="Arial" w:hAnsi="Arial" w:cs="Arial"/>
          <w:sz w:val="21"/>
          <w:szCs w:val="21"/>
        </w:rPr>
        <w:t xml:space="preserve">    </w:t>
      </w:r>
      <w:r w:rsidRPr="00A70196">
        <w:rPr>
          <w:rFonts w:ascii="Arial" w:hAnsi="Arial" w:cs="Arial" w:hint="eastAsia"/>
          <w:sz w:val="21"/>
          <w:szCs w:val="21"/>
        </w:rPr>
        <w:t>（三）下線為</w:t>
      </w:r>
      <w:r w:rsidRPr="00A70196">
        <w:rPr>
          <w:rFonts w:ascii="Arial" w:hAnsi="Arial" w:cs="Arial"/>
          <w:sz w:val="21"/>
          <w:szCs w:val="21"/>
        </w:rPr>
        <w:t>5</w:t>
      </w:r>
      <w:r w:rsidRPr="00A70196">
        <w:rPr>
          <w:rFonts w:ascii="Arial" w:hAnsi="Arial" w:cs="Arial" w:hint="eastAsia"/>
          <w:sz w:val="21"/>
          <w:szCs w:val="21"/>
        </w:rPr>
        <w:t>％。經濟效益較差的企業，可參照下線增長工資。生產經營困難、虧損的企業，經職工代表大會（或全體職工大會）討論通過後，可以低於下線。</w:t>
      </w:r>
    </w:p>
    <w:p w:rsidR="00A70196" w:rsidRPr="00A70196" w:rsidRDefault="00A70196" w:rsidP="00A70196">
      <w:pPr>
        <w:pStyle w:val="Web"/>
        <w:shd w:val="clear" w:color="auto" w:fill="FFFFFF"/>
        <w:spacing w:line="360" w:lineRule="atLeast"/>
        <w:rPr>
          <w:rFonts w:ascii="Arial" w:hAnsi="Arial" w:cs="Arial"/>
          <w:sz w:val="21"/>
          <w:szCs w:val="21"/>
        </w:rPr>
      </w:pPr>
      <w:r w:rsidRPr="00A70196">
        <w:rPr>
          <w:rFonts w:ascii="Arial" w:hAnsi="Arial" w:cs="Arial"/>
          <w:sz w:val="21"/>
          <w:szCs w:val="21"/>
        </w:rPr>
        <w:t xml:space="preserve">   </w:t>
      </w:r>
      <w:r w:rsidRPr="00A70196">
        <w:rPr>
          <w:rFonts w:ascii="Arial" w:hAnsi="Arial" w:cs="Arial" w:hint="eastAsia"/>
          <w:sz w:val="21"/>
          <w:szCs w:val="21"/>
        </w:rPr>
        <w:t>二、實施意見</w:t>
      </w:r>
    </w:p>
    <w:p w:rsidR="00A70196" w:rsidRPr="00A70196" w:rsidRDefault="00A70196" w:rsidP="00A70196">
      <w:pPr>
        <w:pStyle w:val="Web"/>
        <w:shd w:val="clear" w:color="auto" w:fill="FFFFFF"/>
        <w:spacing w:line="360" w:lineRule="atLeast"/>
        <w:rPr>
          <w:rFonts w:ascii="Arial" w:hAnsi="Arial" w:cs="Arial"/>
          <w:sz w:val="21"/>
          <w:szCs w:val="21"/>
        </w:rPr>
      </w:pPr>
      <w:r w:rsidRPr="00A70196">
        <w:rPr>
          <w:rFonts w:ascii="Arial" w:hAnsi="Arial" w:cs="Arial"/>
          <w:sz w:val="21"/>
          <w:szCs w:val="21"/>
        </w:rPr>
        <w:t xml:space="preserve">    </w:t>
      </w:r>
      <w:r w:rsidRPr="00A70196">
        <w:rPr>
          <w:rFonts w:ascii="Arial" w:hAnsi="Arial" w:cs="Arial" w:hint="eastAsia"/>
          <w:sz w:val="21"/>
          <w:szCs w:val="21"/>
        </w:rPr>
        <w:t>（一）企業應當建立反映企業經濟效益的工資正常增長機制，積極開展工資集體協商，合理確定本企業的工資增長水準，以及不同崗位人員的工資調整幅度。</w:t>
      </w:r>
    </w:p>
    <w:p w:rsidR="00A70196" w:rsidRPr="00A70196" w:rsidRDefault="00A70196" w:rsidP="00A70196">
      <w:pPr>
        <w:pStyle w:val="Web"/>
        <w:shd w:val="clear" w:color="auto" w:fill="FFFFFF"/>
        <w:spacing w:line="360" w:lineRule="atLeast"/>
        <w:rPr>
          <w:rFonts w:ascii="Arial" w:hAnsi="Arial" w:cs="Arial"/>
          <w:sz w:val="21"/>
          <w:szCs w:val="21"/>
        </w:rPr>
      </w:pPr>
      <w:r w:rsidRPr="00A70196">
        <w:rPr>
          <w:rFonts w:ascii="Arial" w:hAnsi="Arial" w:cs="Arial"/>
          <w:sz w:val="21"/>
          <w:szCs w:val="21"/>
        </w:rPr>
        <w:t xml:space="preserve">    </w:t>
      </w:r>
      <w:r w:rsidRPr="00A70196">
        <w:rPr>
          <w:rFonts w:ascii="Arial" w:hAnsi="Arial" w:cs="Arial" w:hint="eastAsia"/>
          <w:sz w:val="21"/>
          <w:szCs w:val="21"/>
        </w:rPr>
        <w:t>（二）企業在確定工資增長時，應當著力提高工資水準偏低的生產服務一線崗位人員的工資水準，一線職工工資增長幅度應當不低於本企業職工工資的平均增長幅度。</w:t>
      </w:r>
    </w:p>
    <w:p w:rsidR="00A70196" w:rsidRPr="00A70196" w:rsidRDefault="00A70196" w:rsidP="00A70196">
      <w:pPr>
        <w:pStyle w:val="Web"/>
        <w:shd w:val="clear" w:color="auto" w:fill="FFFFFF"/>
        <w:spacing w:line="360" w:lineRule="atLeast"/>
        <w:rPr>
          <w:rFonts w:ascii="Arial" w:hAnsi="Arial" w:cs="Arial"/>
          <w:sz w:val="21"/>
          <w:szCs w:val="21"/>
        </w:rPr>
      </w:pPr>
      <w:r w:rsidRPr="00A70196">
        <w:rPr>
          <w:rFonts w:ascii="Arial" w:hAnsi="Arial" w:cs="Arial"/>
          <w:sz w:val="21"/>
          <w:szCs w:val="21"/>
        </w:rPr>
        <w:t xml:space="preserve">    </w:t>
      </w:r>
      <w:r w:rsidRPr="00A70196">
        <w:rPr>
          <w:rFonts w:ascii="Arial" w:hAnsi="Arial" w:cs="Arial" w:hint="eastAsia"/>
          <w:sz w:val="21"/>
          <w:szCs w:val="21"/>
        </w:rPr>
        <w:t>（三）應當妥善處理</w:t>
      </w:r>
      <w:proofErr w:type="gramStart"/>
      <w:r w:rsidRPr="00A70196">
        <w:rPr>
          <w:rFonts w:ascii="Arial" w:hAnsi="Arial" w:cs="Arial" w:hint="eastAsia"/>
          <w:sz w:val="21"/>
          <w:szCs w:val="21"/>
        </w:rPr>
        <w:t>好高管與</w:t>
      </w:r>
      <w:proofErr w:type="gramEnd"/>
      <w:r w:rsidRPr="00A70196">
        <w:rPr>
          <w:rFonts w:ascii="Arial" w:hAnsi="Arial" w:cs="Arial" w:hint="eastAsia"/>
          <w:sz w:val="21"/>
          <w:szCs w:val="21"/>
        </w:rPr>
        <w:t>普通職工的工資分配關係，</w:t>
      </w:r>
      <w:proofErr w:type="gramStart"/>
      <w:r w:rsidRPr="00A70196">
        <w:rPr>
          <w:rFonts w:ascii="Arial" w:hAnsi="Arial" w:cs="Arial" w:hint="eastAsia"/>
          <w:sz w:val="21"/>
          <w:szCs w:val="21"/>
        </w:rPr>
        <w:t>企業高管的</w:t>
      </w:r>
      <w:proofErr w:type="gramEnd"/>
      <w:r w:rsidRPr="00A70196">
        <w:rPr>
          <w:rFonts w:ascii="Arial" w:hAnsi="Arial" w:cs="Arial" w:hint="eastAsia"/>
          <w:sz w:val="21"/>
          <w:szCs w:val="21"/>
        </w:rPr>
        <w:t>工資增長應低於本企業職工工資的平均增長幅度。</w:t>
      </w:r>
    </w:p>
    <w:sectPr w:rsidR="00A70196" w:rsidRPr="00A70196" w:rsidSect="00B06B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5749"/>
    <w:rsid w:val="00953367"/>
    <w:rsid w:val="00A70196"/>
    <w:rsid w:val="00B06BAE"/>
    <w:rsid w:val="00BC537A"/>
    <w:rsid w:val="00D4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701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ICHRM</dc:creator>
  <cp:lastModifiedBy>ICHRM</cp:lastModifiedBy>
  <cp:revision>1</cp:revision>
  <dcterms:created xsi:type="dcterms:W3CDTF">2013-08-05T01:34:00Z</dcterms:created>
  <dcterms:modified xsi:type="dcterms:W3CDTF">2013-08-05T02:03:00Z</dcterms:modified>
</cp:coreProperties>
</file>